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2F" w:rsidRPr="00EE7F8B" w:rsidRDefault="00F00E2F" w:rsidP="00F00E2F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EE7F8B">
        <w:rPr>
          <w:b/>
          <w:sz w:val="24"/>
          <w:szCs w:val="24"/>
          <w:u w:val="single"/>
        </w:rPr>
        <w:t xml:space="preserve">ПАСПОРТ УСЛУГИ (ПРОЦЕССА) ТЕХНОЛОГИЧЕСКОГО ПРИСОЕДИНЕНИЯ К ЭЛЕКТРИЧЕСКИМ СЕТЯМ СЕТЕВОЙ ОРГАНИЗАЦИИ ЭНЕРГОПРИНИМАЮЩИХ УСТРОЙСТВ ЮРИДИЧЕСКИХ </w:t>
      </w:r>
      <w:proofErr w:type="gramStart"/>
      <w:r w:rsidRPr="00EE7F8B">
        <w:rPr>
          <w:b/>
          <w:sz w:val="24"/>
          <w:szCs w:val="24"/>
          <w:u w:val="single"/>
        </w:rPr>
        <w:t>ЛИЦ</w:t>
      </w:r>
      <w:r w:rsidR="00EE7F8B">
        <w:rPr>
          <w:b/>
          <w:sz w:val="24"/>
          <w:szCs w:val="24"/>
          <w:u w:val="single"/>
        </w:rPr>
        <w:t xml:space="preserve">, </w:t>
      </w:r>
      <w:r w:rsidRPr="00EE7F8B">
        <w:rPr>
          <w:b/>
          <w:sz w:val="24"/>
          <w:szCs w:val="24"/>
          <w:u w:val="single"/>
        </w:rPr>
        <w:t xml:space="preserve"> ИНДИВИДУАЛЬНЫХ</w:t>
      </w:r>
      <w:proofErr w:type="gramEnd"/>
      <w:r w:rsidRPr="00EE7F8B">
        <w:rPr>
          <w:b/>
          <w:sz w:val="24"/>
          <w:szCs w:val="24"/>
          <w:u w:val="single"/>
        </w:rPr>
        <w:t xml:space="preserve"> ПРЕДПРИНИМАТЕЛЕЙ</w:t>
      </w:r>
      <w:r w:rsidR="00EE7F8B">
        <w:rPr>
          <w:b/>
          <w:sz w:val="24"/>
          <w:szCs w:val="24"/>
          <w:u w:val="single"/>
        </w:rPr>
        <w:t xml:space="preserve"> И ФИЗИЧЕСКИХ ЛИЦ</w:t>
      </w:r>
      <w:r w:rsidRPr="00EE7F8B">
        <w:rPr>
          <w:b/>
          <w:sz w:val="24"/>
          <w:szCs w:val="24"/>
          <w:u w:val="single"/>
        </w:rPr>
        <w:br/>
        <w:t>С МАКСИМАЛЬНОЙ МОЩНОСТЬЮ СВЫШЕ 150 КВт ДО 670 КВт</w:t>
      </w:r>
    </w:p>
    <w:p w:rsidR="00F00E2F" w:rsidRPr="00EE7F8B" w:rsidRDefault="00EE7F8B" w:rsidP="00F00E2F">
      <w:pPr>
        <w:jc w:val="center"/>
        <w:rPr>
          <w:b/>
        </w:rPr>
      </w:pPr>
      <w:r w:rsidRPr="00EE7F8B">
        <w:t>ООО «</w:t>
      </w:r>
      <w:proofErr w:type="spellStart"/>
      <w:r w:rsidRPr="00EE7F8B">
        <w:t>Специнвестпроект</w:t>
      </w:r>
      <w:proofErr w:type="spellEnd"/>
      <w:r w:rsidRPr="00EE7F8B">
        <w:t>»</w:t>
      </w:r>
    </w:p>
    <w:p w:rsidR="00F00E2F" w:rsidRPr="00EE7F8B" w:rsidRDefault="00F00E2F" w:rsidP="00F00E2F"/>
    <w:p w:rsidR="00F00E2F" w:rsidRPr="00EE7F8B" w:rsidRDefault="00F00E2F" w:rsidP="00F00E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E7F8B">
        <w:rPr>
          <w:b/>
          <w:sz w:val="24"/>
          <w:szCs w:val="24"/>
        </w:rPr>
        <w:t>КОД 2.1.3 ТЕХНОЛОГИЧЕСКОЕ ПРИСОЕДИНЕНИЕ К ЭЛЕКТРИЧЕСКИМ СЕТЯМ СЕТЕВОЙ ОРГАНИЗАЦИИ</w:t>
      </w:r>
    </w:p>
    <w:p w:rsidR="00F00E2F" w:rsidRPr="00EE7F8B" w:rsidRDefault="00F00E2F" w:rsidP="00F00E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E7F8B">
        <w:rPr>
          <w:b/>
          <w:sz w:val="24"/>
          <w:szCs w:val="24"/>
        </w:rPr>
        <w:t>ЭНЕРГОПРИНИМАЮЩИХ УСТРОЙСТВ ЮРИДИЧЕСКИХ ЛИЦ И ИНДИВИДУАЛЬНЫХ ПРЕДПРИНИМАТЕЛЕЙ</w:t>
      </w:r>
      <w:r w:rsidRPr="00EE7F8B">
        <w:rPr>
          <w:b/>
          <w:sz w:val="24"/>
          <w:szCs w:val="24"/>
        </w:rPr>
        <w:br/>
        <w:t>С МАКСИМАЛЬНОЙ МОЩНОСТЬЮ СВЫШЕ 150 КВт ДО 670 КВт</w:t>
      </w:r>
    </w:p>
    <w:p w:rsidR="00F00E2F" w:rsidRPr="00EE7F8B" w:rsidRDefault="00F00E2F" w:rsidP="00F00E2F">
      <w:pPr>
        <w:jc w:val="both"/>
        <w:rPr>
          <w:b/>
          <w:sz w:val="24"/>
          <w:szCs w:val="24"/>
        </w:rPr>
      </w:pPr>
    </w:p>
    <w:p w:rsidR="00F00E2F" w:rsidRPr="00EE7F8B" w:rsidRDefault="00F00E2F" w:rsidP="00F00E2F">
      <w:pPr>
        <w:jc w:val="both"/>
        <w:rPr>
          <w:b/>
          <w:sz w:val="24"/>
          <w:szCs w:val="24"/>
        </w:rPr>
      </w:pPr>
      <w:r w:rsidRPr="00EE7F8B">
        <w:rPr>
          <w:b/>
          <w:sz w:val="24"/>
          <w:szCs w:val="24"/>
        </w:rPr>
        <w:t xml:space="preserve">КРУГ ЗАЯВИТЕЛЕЙ: </w:t>
      </w:r>
      <w:r w:rsidRPr="00EE7F8B">
        <w:rPr>
          <w:sz w:val="24"/>
          <w:szCs w:val="24"/>
        </w:rPr>
        <w:t>юридическое лицо или индивидуальный предприниматель (далее – заявитель) в целях технологического присоединения энергопринимающих устройств, максимальная мощность которых составляет свыше 150 кВт и менее 670 кВт включительно (с учетом ранее присоединенных в данной точке присоединения энергопринимающих устройств)</w:t>
      </w:r>
      <w:r w:rsidRPr="00EE7F8B">
        <w:rPr>
          <w:b/>
          <w:sz w:val="24"/>
          <w:szCs w:val="24"/>
        </w:rPr>
        <w:t>.</w:t>
      </w:r>
    </w:p>
    <w:p w:rsidR="00F00E2F" w:rsidRPr="00EE7F8B" w:rsidRDefault="00F00E2F" w:rsidP="00F00E2F">
      <w:pPr>
        <w:autoSpaceDE w:val="0"/>
        <w:autoSpaceDN w:val="0"/>
        <w:adjustRightInd w:val="0"/>
        <w:jc w:val="both"/>
        <w:rPr>
          <w:rStyle w:val="FontStyle63"/>
          <w:sz w:val="24"/>
          <w:szCs w:val="24"/>
        </w:rPr>
      </w:pPr>
      <w:r w:rsidRPr="00EE7F8B">
        <w:rPr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Pr="00EE7F8B">
        <w:rPr>
          <w:sz w:val="24"/>
          <w:szCs w:val="24"/>
        </w:rPr>
        <w:t xml:space="preserve"> </w:t>
      </w:r>
      <w:r w:rsidRPr="00EE7F8B">
        <w:rPr>
          <w:rStyle w:val="FontStyle63"/>
          <w:sz w:val="24"/>
          <w:szCs w:val="24"/>
        </w:rPr>
        <w:t>Размер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ставок.</w:t>
      </w:r>
    </w:p>
    <w:p w:rsidR="00F00E2F" w:rsidRPr="00EE7F8B" w:rsidRDefault="00F00E2F" w:rsidP="00F00E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7F8B">
        <w:rPr>
          <w:b/>
          <w:sz w:val="24"/>
          <w:szCs w:val="24"/>
        </w:rPr>
        <w:t>УСЛОВИЯ ОКАЗАНИЯ УСЛУГИ (ПРОЦЕССА):</w:t>
      </w:r>
      <w:r w:rsidRPr="00EE7F8B">
        <w:rPr>
          <w:sz w:val="24"/>
          <w:szCs w:val="24"/>
        </w:rPr>
        <w:t xml:space="preserve"> намерение заявителя присоединить впервые вводимые в эксплуатацию, ранее присоединенные энергопринимающие устройства и объекты электроэнергетики, максимальная мощность которых увеличивается,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устройств, а также на случаи присоединения ранее присоединенных энергопринимающих устройств, выведенных из эксплуатации (в том числе в целях консервации на срок более 1 года)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26.07.2007 № 484 «О выводе объектов электроэнергетики в ремонт и из эксплуатации».</w:t>
      </w:r>
    </w:p>
    <w:p w:rsidR="00F00E2F" w:rsidRPr="00EE7F8B" w:rsidRDefault="00F00E2F" w:rsidP="00F00E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7F8B">
        <w:rPr>
          <w:b/>
          <w:sz w:val="24"/>
          <w:szCs w:val="24"/>
        </w:rPr>
        <w:t>РЕЗУЛЬТАТ ОКАЗАНИЯ УСЛУГИ (ПРОЦЕССА):</w:t>
      </w:r>
      <w:r w:rsidRPr="00EE7F8B">
        <w:rPr>
          <w:sz w:val="24"/>
          <w:szCs w:val="24"/>
        </w:rPr>
        <w:t xml:space="preserve"> технологическое присоединения энергопринимающих устройств Заявителя.</w:t>
      </w:r>
    </w:p>
    <w:p w:rsidR="00F00E2F" w:rsidRPr="00EE7F8B" w:rsidRDefault="00F00E2F" w:rsidP="00F00E2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E7F8B">
        <w:rPr>
          <w:b/>
          <w:sz w:val="24"/>
          <w:szCs w:val="24"/>
        </w:rPr>
        <w:t xml:space="preserve">ОБЩИЙ СРОК ОКАЗАНИЯ УСЛУГИ (ПРОЦЕССА): </w:t>
      </w:r>
      <w:r w:rsidRPr="00EE7F8B">
        <w:rPr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</w:t>
      </w:r>
      <w:r w:rsidRPr="00EE7F8B">
        <w:rPr>
          <w:b/>
          <w:sz w:val="24"/>
          <w:szCs w:val="24"/>
        </w:rPr>
        <w:t>до 20 кВ включительно</w:t>
      </w:r>
      <w:r w:rsidRPr="00EE7F8B">
        <w:rPr>
          <w:sz w:val="24"/>
          <w:szCs w:val="24"/>
        </w:rPr>
        <w:t xml:space="preserve">, при расстоянии от существующих электрических сетей до границ участка, на котором расположены присоединяемые энергопринимающие устройства, </w:t>
      </w:r>
      <w:r w:rsidRPr="00EE7F8B">
        <w:rPr>
          <w:b/>
          <w:sz w:val="24"/>
          <w:szCs w:val="24"/>
        </w:rPr>
        <w:t>не более 300 метров</w:t>
      </w:r>
      <w:r w:rsidRPr="00EE7F8B">
        <w:rPr>
          <w:sz w:val="24"/>
          <w:szCs w:val="24"/>
        </w:rPr>
        <w:t xml:space="preserve"> в городах и поселках городского типа и </w:t>
      </w:r>
      <w:r w:rsidRPr="00EE7F8B">
        <w:rPr>
          <w:b/>
          <w:sz w:val="24"/>
          <w:szCs w:val="24"/>
        </w:rPr>
        <w:t>не более 500 метров</w:t>
      </w:r>
      <w:r w:rsidRPr="00EE7F8B">
        <w:rPr>
          <w:sz w:val="24"/>
          <w:szCs w:val="24"/>
        </w:rPr>
        <w:t xml:space="preserve"> в сельской местности:</w:t>
      </w:r>
    </w:p>
    <w:p w:rsidR="00F00E2F" w:rsidRPr="00EE7F8B" w:rsidRDefault="00F00E2F" w:rsidP="00F00E2F">
      <w:pPr>
        <w:pStyle w:val="af7"/>
        <w:numPr>
          <w:ilvl w:val="0"/>
          <w:numId w:val="6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EE7F8B">
        <w:rPr>
          <w:rFonts w:ascii="Times New Roman" w:hAnsi="Times New Roman"/>
          <w:sz w:val="24"/>
          <w:szCs w:val="24"/>
        </w:rPr>
        <w:t xml:space="preserve"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</w:t>
      </w:r>
      <w:r w:rsidRPr="00EE7F8B">
        <w:rPr>
          <w:rFonts w:ascii="Times New Roman" w:hAnsi="Times New Roman"/>
          <w:b/>
          <w:sz w:val="24"/>
          <w:szCs w:val="24"/>
        </w:rPr>
        <w:t>4 месяца</w:t>
      </w:r>
      <w:r w:rsidRPr="00EE7F8B">
        <w:rPr>
          <w:rFonts w:ascii="Times New Roman" w:hAnsi="Times New Roman"/>
          <w:sz w:val="24"/>
          <w:szCs w:val="24"/>
        </w:rPr>
        <w:t xml:space="preserve"> с даты заключения договора.</w:t>
      </w:r>
    </w:p>
    <w:p w:rsidR="00F00E2F" w:rsidRPr="00EE7F8B" w:rsidRDefault="00F00E2F" w:rsidP="00F00E2F">
      <w:pPr>
        <w:ind w:firstLine="709"/>
        <w:jc w:val="both"/>
        <w:rPr>
          <w:sz w:val="24"/>
        </w:rPr>
      </w:pPr>
      <w:r w:rsidRPr="00EE7F8B">
        <w:rPr>
          <w:sz w:val="24"/>
          <w:szCs w:val="24"/>
        </w:rPr>
        <w:t xml:space="preserve">В иных случаях – </w:t>
      </w:r>
      <w:r w:rsidRPr="00EE7F8B">
        <w:rPr>
          <w:b/>
          <w:sz w:val="24"/>
          <w:szCs w:val="24"/>
        </w:rPr>
        <w:t>1 год</w:t>
      </w:r>
      <w:r w:rsidRPr="00EE7F8B">
        <w:rPr>
          <w:sz w:val="24"/>
          <w:szCs w:val="24"/>
        </w:rPr>
        <w:t xml:space="preserve"> с даты заключения договора (если более короткие сроки не предусмотрены инвестиционной программой соответствующей сетевой организации или соглашением сторон).</w:t>
      </w:r>
    </w:p>
    <w:p w:rsidR="00F00E2F" w:rsidRPr="00EE7F8B" w:rsidRDefault="00F00E2F" w:rsidP="00F00E2F">
      <w:pPr>
        <w:jc w:val="both"/>
        <w:rPr>
          <w:b/>
          <w:sz w:val="24"/>
        </w:rPr>
      </w:pPr>
      <w:r w:rsidRPr="00EE7F8B">
        <w:rPr>
          <w:b/>
          <w:sz w:val="24"/>
        </w:rPr>
        <w:lastRenderedPageBreak/>
        <w:t>СОСТАВ, ПОСЛЕДОВАТЕЛЬНОСТЬ И СРОКИ ОКАЗАНИЯ УСЛУГИ (ПРОЦЕССА):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2226"/>
        <w:gridCol w:w="2133"/>
        <w:gridCol w:w="2560"/>
        <w:gridCol w:w="2637"/>
        <w:gridCol w:w="2227"/>
        <w:gridCol w:w="1970"/>
      </w:tblGrid>
      <w:tr w:rsidR="00EE7F8B" w:rsidRPr="00EE7F8B" w:rsidTr="00AF5B6D">
        <w:trPr>
          <w:tblHeader/>
        </w:trPr>
        <w:tc>
          <w:tcPr>
            <w:tcW w:w="170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82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749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899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926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782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692" w:type="pct"/>
            <w:shd w:val="clear" w:color="auto" w:fill="4F81BD"/>
          </w:tcPr>
          <w:p w:rsidR="00F00E2F" w:rsidRPr="00EE7F8B" w:rsidRDefault="00F00E2F" w:rsidP="00AF5B6D">
            <w:pPr>
              <w:jc w:val="center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EE7F8B" w:rsidRPr="00EE7F8B" w:rsidTr="00AF5B6D">
        <w:tc>
          <w:tcPr>
            <w:tcW w:w="170" w:type="pct"/>
            <w:vMerge w:val="restar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Подача заявки на технологическое присоединение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-------------------------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1.1.</w:t>
            </w:r>
            <w:r w:rsidRPr="00EE7F8B">
              <w:rPr>
                <w:sz w:val="22"/>
                <w:szCs w:val="22"/>
              </w:rPr>
              <w:t xml:space="preserve"> Заявитель подает заявку на технологическое присоединение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 xml:space="preserve">Очное обращение заявителя лично или через уполномоченного представителя с заявкой в офис обслуживания, либо </w:t>
            </w:r>
          </w:p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письменное обращение с заявкой письмом с описью вложения, либо в электронной форме</w:t>
            </w:r>
            <w:r w:rsidRPr="00EE7F8B">
              <w:rPr>
                <w:rStyle w:val="afa"/>
                <w:rFonts w:ascii="Times New Roman" w:eastAsia="Times New Roman" w:hAnsi="Times New Roman"/>
                <w:lang w:eastAsia="ru-RU"/>
              </w:rPr>
              <w:footnoteReference w:id="1"/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Пункты  8- 8(2), 8(4) -8 (8), 9, 10, 12 Правил технологического присоединения энергопринимающих устройств потребителей электрической энергии</w:t>
            </w:r>
            <w:r w:rsidRPr="00EE7F8B">
              <w:rPr>
                <w:rStyle w:val="afa"/>
                <w:sz w:val="22"/>
                <w:szCs w:val="22"/>
              </w:rPr>
              <w:footnoteReference w:id="2"/>
            </w:r>
            <w:r w:rsidRPr="00EE7F8B">
              <w:rPr>
                <w:sz w:val="22"/>
                <w:szCs w:val="22"/>
              </w:rPr>
              <w:t>.</w:t>
            </w: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1.2</w:t>
            </w:r>
            <w:r w:rsidRPr="00EE7F8B">
              <w:rPr>
                <w:sz w:val="22"/>
                <w:szCs w:val="22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Уведомление в письменной форме направляется заявителю способом, позволяющим подтвердить факт получения, либо выдается заявителю (его уполномоченному представителю) в офисе обслуживания потребителей, либо в электронной форме </w:t>
            </w:r>
            <w:r w:rsidRPr="00EE7F8B">
              <w:rPr>
                <w:rStyle w:val="afa"/>
                <w:sz w:val="22"/>
                <w:szCs w:val="22"/>
              </w:rPr>
              <w:footnoteReference w:id="3"/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В течение 3 рабочих дней после получения заявки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15 Правил ТП</w:t>
            </w: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 xml:space="preserve">1.3. </w:t>
            </w:r>
            <w:r w:rsidRPr="00EE7F8B">
              <w:rPr>
                <w:rStyle w:val="FontStyle61"/>
                <w:sz w:val="22"/>
                <w:szCs w:val="22"/>
              </w:rPr>
              <w:t>Аннулирование заявки и уведомление об этом заявителя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письменной или электронной форме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Style w:val="FontStyle61"/>
                <w:sz w:val="22"/>
                <w:szCs w:val="22"/>
              </w:rPr>
              <w:t xml:space="preserve">В течение 3 рабочих дня со дня принятия решения об </w:t>
            </w:r>
            <w:r w:rsidRPr="00EE7F8B">
              <w:rPr>
                <w:rStyle w:val="FontStyle61"/>
                <w:sz w:val="22"/>
                <w:szCs w:val="22"/>
              </w:rPr>
              <w:lastRenderedPageBreak/>
              <w:t xml:space="preserve">аннулировании заявки, в случае </w:t>
            </w:r>
            <w:proofErr w:type="spellStart"/>
            <w:r w:rsidRPr="00EE7F8B">
              <w:rPr>
                <w:rStyle w:val="FontStyle61"/>
                <w:sz w:val="22"/>
                <w:szCs w:val="22"/>
              </w:rPr>
              <w:t>непредоставления</w:t>
            </w:r>
            <w:proofErr w:type="spellEnd"/>
            <w:r w:rsidRPr="00EE7F8B">
              <w:rPr>
                <w:rStyle w:val="FontStyle61"/>
                <w:sz w:val="22"/>
                <w:szCs w:val="22"/>
              </w:rPr>
              <w:t xml:space="preserve"> заявителем недостающих сведений и документов в течение 20 </w:t>
            </w:r>
            <w:r w:rsidRPr="00EE7F8B">
              <w:rPr>
                <w:rFonts w:ascii="Times New Roman" w:eastAsia="Times New Roman" w:hAnsi="Times New Roman"/>
                <w:lang w:eastAsia="ru-RU"/>
              </w:rPr>
              <w:t>рабочих дней с даты получения заявителем запроса недостающих сведений и документов</w:t>
            </w:r>
          </w:p>
        </w:tc>
        <w:tc>
          <w:tcPr>
            <w:tcW w:w="69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vMerge w:val="restar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случае полного пакета документов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2.1</w:t>
            </w:r>
            <w:r w:rsidRPr="00EE7F8B">
              <w:rPr>
                <w:sz w:val="22"/>
                <w:szCs w:val="22"/>
              </w:rPr>
              <w:t>. Направление (либо выдача при очном посещении офиса обслуживания) сетевой организацией проекта договора об осуществлении технологического присоединения с  техническими условиями, уведомления о последствиях наступления бездоговорного потребления электрической энергии) и уведомления о возможности временного технологического присоединения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письменной или электронной форме Письменная форма проекта договора, подписанного со стороны сетевой организации, направляется способом, позволяющим подтвердить факт получения, либо выдается заявителю (его уполномоченному представителю) в офисе обслуживания потребителей.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Электронная форма проекта договора, подписанного со стороны сетевой организации усиленной квалифицированной </w:t>
            </w:r>
            <w:r w:rsidRPr="00EE7F8B">
              <w:rPr>
                <w:sz w:val="22"/>
                <w:szCs w:val="22"/>
              </w:rPr>
              <w:lastRenderedPageBreak/>
              <w:t>электронной подписью, размещается в Личном кабинете</w:t>
            </w:r>
            <w:r w:rsidRPr="00EE7F8B">
              <w:rPr>
                <w:rStyle w:val="afa"/>
                <w:sz w:val="22"/>
                <w:szCs w:val="22"/>
              </w:rPr>
              <w:footnoteReference w:id="4"/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течение 20 рабочих дней со дня получения заявки; </w:t>
            </w:r>
          </w:p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в случае отсутствия сведений (документов) в течение 20 рабочих дней с даты получения недостающих сведений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15 Правил ТП</w:t>
            </w: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случае намерения заявителя заключить договор об осуществлении технологического присоединения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2.2</w:t>
            </w:r>
            <w:r w:rsidRPr="00EE7F8B">
              <w:rPr>
                <w:sz w:val="22"/>
                <w:szCs w:val="22"/>
              </w:rPr>
              <w:t xml:space="preserve">. Подписание заявителем: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 двух экземпляров проекта договора в письменной форме и направление одного экземпляра сетевой организации с приложением к нему документов, подтверждающих полномочия лица, подписавшего такой договор;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 проекта договора в электронной форме посредством простой электронной подписи (для физических лиц) либо усиленной квалифицированной электронной подписи (для юридических лиц или индивидуальных предпринимателей)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В течение 10 рабочих дней со дня получения заявителем проекта договора.</w:t>
            </w:r>
          </w:p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В случае ненаправления подписанного проекта договора либо мотивированного отказа от его подписания в течение 10 рабочих дней, но не ранее чем  через 30 рабочих дней со дня получения договора заявителем – заявка аннулируется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7F8B">
              <w:rPr>
                <w:sz w:val="22"/>
                <w:szCs w:val="22"/>
              </w:rPr>
              <w:t>Пункт 15 Правил ТП</w:t>
            </w: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В случае несогласия заявителя с представленным сетевой </w:t>
            </w:r>
            <w:r w:rsidRPr="00EE7F8B">
              <w:rPr>
                <w:sz w:val="22"/>
                <w:szCs w:val="22"/>
              </w:rPr>
              <w:lastRenderedPageBreak/>
              <w:t>организацией проектом договора и (или) несоответствия его Правилам ТП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lastRenderedPageBreak/>
              <w:t>2.3.</w:t>
            </w:r>
            <w:r w:rsidRPr="00EE7F8B">
              <w:rPr>
                <w:sz w:val="22"/>
                <w:szCs w:val="22"/>
              </w:rPr>
              <w:t xml:space="preserve"> Заявитель направляет сетевой организации мотивированный отказ от подписания проекта </w:t>
            </w:r>
            <w:r w:rsidRPr="00EE7F8B">
              <w:rPr>
                <w:sz w:val="22"/>
                <w:szCs w:val="22"/>
              </w:rPr>
              <w:lastRenderedPageBreak/>
              <w:t>договора с предложением об изменении представленного проекта договора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Письменная или электронная форма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hAnsi="Times New Roman"/>
              </w:rPr>
              <w:t xml:space="preserve">В течение 10 рабочих дней со дня получения подписанного сетевой </w:t>
            </w:r>
            <w:r w:rsidRPr="00EE7F8B">
              <w:rPr>
                <w:rFonts w:ascii="Times New Roman" w:hAnsi="Times New Roman"/>
              </w:rPr>
              <w:lastRenderedPageBreak/>
              <w:t>организацией проекта  договора и технических условий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Пункт 15 Правил ТП</w:t>
            </w:r>
          </w:p>
        </w:tc>
      </w:tr>
      <w:tr w:rsidR="00EE7F8B" w:rsidRPr="00EE7F8B" w:rsidTr="00AF5B6D">
        <w:trPr>
          <w:trHeight w:val="86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 xml:space="preserve">2.4 </w:t>
            </w:r>
            <w:r w:rsidRPr="00EE7F8B">
              <w:rPr>
                <w:sz w:val="22"/>
                <w:szCs w:val="22"/>
              </w:rPr>
              <w:t xml:space="preserve"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с техническими условиями 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выдается заявителю (его уполномоченному представителю) в офисе обслуживания потребителей. Электронная форма проекта договора, подписанного со стороны сетевой организации усиленной квалифицированной электронной подписью размещается в Личном кабинете.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7F8B">
              <w:rPr>
                <w:sz w:val="22"/>
                <w:szCs w:val="22"/>
              </w:rPr>
              <w:t>Пункт 15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случае заключения договора ТП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2.5</w:t>
            </w:r>
            <w:r w:rsidRPr="00EE7F8B">
              <w:rPr>
                <w:sz w:val="22"/>
                <w:szCs w:val="22"/>
              </w:rPr>
              <w:t xml:space="preserve">. Сетевая организация направляет в адрес субъекта розничного рынка, указанного в заявке, с которым заявитель намеревается заключить договор, </w:t>
            </w:r>
            <w:r w:rsidRPr="00EE7F8B">
              <w:rPr>
                <w:sz w:val="22"/>
                <w:szCs w:val="22"/>
              </w:rPr>
              <w:lastRenderedPageBreak/>
              <w:t>обеспечивающий продажу электрической энергии, копию подписанного с заявителем договора, копию заявки на технологическое присоединение и копии представленных заявителем документов в соответствии с пунктом  10 Правил ТП.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В письменной или электронной форме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pStyle w:val="af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EE7F8B">
              <w:rPr>
                <w:rFonts w:ascii="Times New Roman" w:eastAsia="Times New Roman" w:hAnsi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8 (9), 15(1)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 w:val="restar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3.1</w:t>
            </w:r>
            <w:r w:rsidRPr="00EE7F8B">
              <w:rPr>
                <w:sz w:val="22"/>
                <w:szCs w:val="22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----------------------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16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3.2</w:t>
            </w:r>
            <w:r w:rsidRPr="00EE7F8B">
              <w:rPr>
                <w:sz w:val="22"/>
                <w:szCs w:val="22"/>
              </w:rPr>
              <w:t>. Получение сетевой организацией от субъекта розничного рынка</w:t>
            </w:r>
            <w:r w:rsidRPr="00EE7F8B">
              <w:rPr>
                <w:rStyle w:val="afa"/>
                <w:sz w:val="22"/>
                <w:szCs w:val="22"/>
              </w:rPr>
              <w:footnoteReference w:id="5"/>
            </w:r>
            <w:r w:rsidRPr="00EE7F8B">
              <w:rPr>
                <w:sz w:val="22"/>
                <w:szCs w:val="22"/>
              </w:rPr>
              <w:t xml:space="preserve">: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- подписанного экземпляра договора энергоснабжения (купли-продажи электрической энергии) (в случае если заявителем приложен к заявке подписанный им проект договора, обеспечивающего продажу электрической </w:t>
            </w:r>
            <w:r w:rsidRPr="00EE7F8B">
              <w:rPr>
                <w:sz w:val="22"/>
                <w:szCs w:val="22"/>
              </w:rPr>
              <w:lastRenderedPageBreak/>
              <w:t>энергии, или протокол разногласий к проекту договора),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- либо проекта договора, подписанного со своей стороны (если проект такого договора, подписанного со стороны заявителя не приложен к комплекту документов, предоставленных сетевой организацией),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 либо уведомления заявителя о недостающих документах.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В письменной или электронной форме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 в течение 7 рабочих дней с даты получения субъектом розничного рынка подписанного договора об осуществлении технологического присоединения, копии заявки и документов, предусмотренных пунктом 10 Правил ТП;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 xml:space="preserve"> - либо в течение 5 рабочих дней с даты получения от сетевой организации недостающих документов заявителя.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7F8B">
              <w:rPr>
                <w:sz w:val="22"/>
                <w:szCs w:val="22"/>
              </w:rPr>
              <w:t>В течение 2 рабочих дней со дня получения от гарантирующего поставщика уведомления о недостающих документах сетевая организация уведомляет об этом заявителя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Пункт 39(1) Основных положений функционирования розничных рынков электрической энергии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3.3</w:t>
            </w:r>
            <w:r w:rsidRPr="00EE7F8B">
              <w:rPr>
                <w:sz w:val="22"/>
                <w:szCs w:val="22"/>
              </w:rPr>
              <w:t>. Выполнение сетевой организацией мероприятий, предусмотренных договором, включая установку прибора учета электрической энергии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--------------------------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E7F8B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18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3.4</w:t>
            </w:r>
            <w:r w:rsidRPr="00EE7F8B">
              <w:rPr>
                <w:sz w:val="22"/>
                <w:szCs w:val="22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------------------------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69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3.5</w:t>
            </w:r>
            <w:r w:rsidRPr="00EE7F8B">
              <w:rPr>
                <w:sz w:val="22"/>
                <w:szCs w:val="22"/>
              </w:rPr>
              <w:t xml:space="preserve">. Направление заявителем уведомления в адрес сетевой организации о выполнении </w:t>
            </w:r>
            <w:r w:rsidRPr="00EE7F8B">
              <w:rPr>
                <w:sz w:val="22"/>
                <w:szCs w:val="22"/>
              </w:rPr>
              <w:lastRenderedPageBreak/>
              <w:t>технических условий с необходимым пакетом документов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 xml:space="preserve">Уведомление о выполнении технических условий с приложением необходимых документов в </w:t>
            </w:r>
            <w:r w:rsidRPr="00EE7F8B">
              <w:rPr>
                <w:sz w:val="22"/>
                <w:szCs w:val="22"/>
              </w:rPr>
              <w:lastRenderedPageBreak/>
              <w:t>письменном или электронном виде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После выполнения технических условий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Пункты 85, 86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 w:val="restar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Проверка выполнения технических условий</w:t>
            </w: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4.1.</w:t>
            </w:r>
            <w:r w:rsidRPr="00EE7F8B">
              <w:rPr>
                <w:sz w:val="22"/>
                <w:szCs w:val="22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Допуск к эксплуатации установленного прибора учета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При выявлении в ходе осмотра невыполнения заявителем требований технических условий и проектной документации, сетевая организация по завершению осмотра передает заявителю перечень замечаний в письменной или электронной форме.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течение 10 дней со дня получения от заявителя уведомления о выполнении технических условий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Пункты 82-90 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4.2.</w:t>
            </w:r>
            <w:r w:rsidRPr="00EE7F8B">
              <w:rPr>
                <w:sz w:val="22"/>
                <w:szCs w:val="22"/>
              </w:rPr>
              <w:t xml:space="preserve"> Сетевая компания направляет гарантирующему поставщику, в зоне деятельности которого располагается (будет располагаться) многоквартирный дом, копию такого уведомления и копии </w:t>
            </w:r>
            <w:r w:rsidRPr="00EE7F8B">
              <w:rPr>
                <w:sz w:val="22"/>
                <w:szCs w:val="22"/>
              </w:rPr>
              <w:lastRenderedPageBreak/>
              <w:t>приложенных к нему документов</w:t>
            </w:r>
            <w:r w:rsidRPr="00EE7F8B">
              <w:rPr>
                <w:rStyle w:val="afa"/>
                <w:sz w:val="22"/>
                <w:szCs w:val="22"/>
              </w:rPr>
              <w:footnoteReference w:id="6"/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В письменной или электронной форме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течение 3 рабочих дней со дня получения от заявителя уведомления о выполнении технических условий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94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При получении от заявителя уведомления об устранении замечаний по выполнению технических условий. 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4.3.</w:t>
            </w:r>
            <w:r w:rsidRPr="00EE7F8B">
              <w:rPr>
                <w:sz w:val="22"/>
                <w:szCs w:val="22"/>
              </w:rPr>
              <w:t xml:space="preserve"> Повторный осмотр электроустановки заявителя. Допуск к эксплуатации установленного прибора учета (при необходимости).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Акт допуска в эксплуатацию прибора учета (подписывается в день проведения осмотра) 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89 Правил ТП, Раздел Х Основ функционирования розничных рынков электрической энергии</w:t>
            </w:r>
            <w:r w:rsidRPr="00EE7F8B">
              <w:rPr>
                <w:rStyle w:val="afa"/>
                <w:sz w:val="22"/>
                <w:szCs w:val="22"/>
              </w:rPr>
              <w:footnoteReference w:id="7"/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4.4.</w:t>
            </w:r>
            <w:r w:rsidRPr="00EE7F8B">
              <w:rPr>
                <w:sz w:val="22"/>
                <w:szCs w:val="22"/>
              </w:rPr>
              <w:t xml:space="preserve"> Направление (выдача) заявителю Акта о выполнении технических условий в 2 экземплярах, а также ранее полученных от субъекта розничного рынка: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 - 2 экземпляров подписанного проекта договора, обеспечивающего </w:t>
            </w:r>
            <w:r w:rsidRPr="00EE7F8B">
              <w:rPr>
                <w:sz w:val="22"/>
                <w:szCs w:val="22"/>
              </w:rPr>
              <w:lastRenderedPageBreak/>
              <w:t xml:space="preserve">продажу электрической энергии (дополнительного соглашения),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- либо подписанного договора, обеспечивающего продажу электрической энергии (дополнительного соглашения), если заявителем был приложен к заявке подписанный им проект договора, обеспечивающего продажу электрической энергии (дополнительное соглашение), 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 либо отказа от заключения договора, обеспечивающего продажу электрической энергии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 xml:space="preserve">Акт о выполнении технических условий и договор (проект договора), обеспечивающего продажу электрической энергии (дополнительного соглашения) в письменной форме выдается заявителю (его уполномоченному </w:t>
            </w:r>
            <w:r w:rsidRPr="00EE7F8B">
              <w:rPr>
                <w:sz w:val="22"/>
                <w:szCs w:val="22"/>
              </w:rPr>
              <w:lastRenderedPageBreak/>
              <w:t xml:space="preserve">представителю), либо в электронной форме 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 xml:space="preserve">Составление и подписание Акта о выполнении технических условий осуществляется непосредственно в день проведения осмотра </w:t>
            </w:r>
            <w:r w:rsidRPr="00EE7F8B">
              <w:rPr>
                <w:rStyle w:val="afa"/>
                <w:sz w:val="22"/>
                <w:szCs w:val="22"/>
              </w:rPr>
              <w:footnoteReference w:id="8"/>
            </w:r>
            <w:r w:rsidRPr="00EE7F8B">
              <w:rPr>
                <w:sz w:val="22"/>
                <w:szCs w:val="22"/>
              </w:rPr>
              <w:t>, либо в 3-дневный срок</w:t>
            </w:r>
            <w:r w:rsidRPr="00EE7F8B">
              <w:rPr>
                <w:rStyle w:val="afa"/>
                <w:sz w:val="22"/>
                <w:szCs w:val="22"/>
              </w:rPr>
              <w:footnoteReference w:id="9"/>
            </w:r>
            <w:r w:rsidRPr="00EE7F8B">
              <w:rPr>
                <w:rStyle w:val="afa"/>
                <w:sz w:val="22"/>
                <w:szCs w:val="22"/>
              </w:rPr>
              <w:t>.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Отказ от заключения договора, обеспечивающего </w:t>
            </w:r>
            <w:r w:rsidRPr="00EE7F8B">
              <w:rPr>
                <w:sz w:val="22"/>
                <w:szCs w:val="22"/>
              </w:rPr>
              <w:lastRenderedPageBreak/>
              <w:t>продажу электрической энергии направляется заявителю в течение 2 рабочих дней.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Пункт 88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4.5.</w:t>
            </w:r>
            <w:r w:rsidRPr="00EE7F8B">
              <w:rPr>
                <w:sz w:val="22"/>
                <w:szCs w:val="22"/>
              </w:rPr>
              <w:t xml:space="preserve"> Заявитель направляет в адрес органа федерального государственного энергетического надзора уведомление о готовности на ввод в эксплуатацию объектов с приложением необходимых документов.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Письменное уведомление, направленное способом, позволяющим установить дату отправки и получения уведомления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течение 5 дней со дня оформления акта о выполнении технических условий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Пункты 18(1), 18(2), 18(3)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4.6.</w:t>
            </w:r>
            <w:r w:rsidRPr="00EE7F8B">
              <w:rPr>
                <w:sz w:val="22"/>
                <w:szCs w:val="22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--------------------------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Подпункт «д» пункта 7 Правил ТП</w:t>
            </w:r>
          </w:p>
        </w:tc>
      </w:tr>
      <w:tr w:rsidR="00EE7F8B" w:rsidRPr="00EE7F8B" w:rsidTr="00AF5B6D">
        <w:trPr>
          <w:trHeight w:val="695"/>
        </w:trPr>
        <w:tc>
          <w:tcPr>
            <w:tcW w:w="170" w:type="pct"/>
            <w:vMerge w:val="restart"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E7F8B">
              <w:rPr>
                <w:sz w:val="22"/>
                <w:szCs w:val="22"/>
              </w:rPr>
              <w:t>Присоединение объектов заявителя к электрическим сетям</w:t>
            </w:r>
          </w:p>
        </w:tc>
        <w:tc>
          <w:tcPr>
            <w:tcW w:w="749" w:type="pct"/>
            <w:vMerge w:val="restar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5.1.</w:t>
            </w:r>
            <w:r w:rsidRPr="00EE7F8B">
              <w:rPr>
                <w:sz w:val="22"/>
                <w:szCs w:val="22"/>
              </w:rPr>
              <w:t xml:space="preserve"> Составление Акта об осуществлении технологического присоединения.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Подписанный Акт об осуществлении технологического в письменной форме направляется способом, позволяющим подтвердить факт получения, передается лично в офисе обслуживания потребителей, либо размещается в Личном кабинете в электронной форме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В течение 3 рабочих дней после осуществления сетевой организацией фактической подачи напряжения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ind w:left="-16" w:hanging="16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Пункт 19 Правил ТП</w:t>
            </w:r>
          </w:p>
        </w:tc>
      </w:tr>
      <w:tr w:rsidR="00EE7F8B" w:rsidRPr="00EE7F8B" w:rsidTr="00AF5B6D">
        <w:trPr>
          <w:trHeight w:val="270"/>
        </w:trPr>
        <w:tc>
          <w:tcPr>
            <w:tcW w:w="170" w:type="pct"/>
            <w:vMerge/>
            <w:shd w:val="clear" w:color="auto" w:fill="auto"/>
          </w:tcPr>
          <w:p w:rsidR="00F00E2F" w:rsidRPr="00EE7F8B" w:rsidRDefault="00F00E2F" w:rsidP="00AF5B6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F00E2F" w:rsidRPr="00EE7F8B" w:rsidRDefault="00F00E2F" w:rsidP="00A601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7F8B">
              <w:rPr>
                <w:b/>
                <w:bCs/>
                <w:sz w:val="22"/>
                <w:szCs w:val="22"/>
              </w:rPr>
              <w:t>5.2.</w:t>
            </w:r>
            <w:r w:rsidRPr="00EE7F8B">
              <w:rPr>
                <w:sz w:val="22"/>
                <w:szCs w:val="22"/>
              </w:rPr>
              <w:t xml:space="preserve"> Направление сетевой организацией в адрес субъекта розничного рынка подписанного с заявителем Акта об осуществлении технологического присоединения и подписанного со стороны заявителя договора, </w:t>
            </w:r>
            <w:r w:rsidRPr="00EE7F8B">
              <w:rPr>
                <w:sz w:val="22"/>
                <w:szCs w:val="22"/>
              </w:rPr>
              <w:lastRenderedPageBreak/>
              <w:t>обеспечивающего продажу электрической энергии, в случае его получения от заявителя вместе с Актом об осуществлении технологического присоединения, либо его направление заявителем самостоятельно гарантирующему поставщику (иной сбытовой организации)</w:t>
            </w:r>
          </w:p>
        </w:tc>
        <w:tc>
          <w:tcPr>
            <w:tcW w:w="926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В письменной или электронной форме</w:t>
            </w:r>
          </w:p>
        </w:tc>
        <w:tc>
          <w:tcPr>
            <w:tcW w:w="782" w:type="pct"/>
            <w:shd w:val="clear" w:color="auto" w:fill="auto"/>
          </w:tcPr>
          <w:p w:rsidR="00F00E2F" w:rsidRPr="00EE7F8B" w:rsidRDefault="00F00E2F" w:rsidP="00AF5B6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 xml:space="preserve">В течение 2 рабочих дней после предоставления подписанного заявителем Акта об осуществлении технологического присоединения в сетевую организацию и подписанного заявителем договора, </w:t>
            </w:r>
            <w:r w:rsidRPr="00EE7F8B">
              <w:rPr>
                <w:sz w:val="22"/>
                <w:szCs w:val="22"/>
              </w:rPr>
              <w:lastRenderedPageBreak/>
              <w:t>обеспечивающего продажу электрической энергии, в случае его получения от заявителя вместе с Актом об осуществлении технологического присоединения.</w:t>
            </w:r>
          </w:p>
          <w:p w:rsidR="00F00E2F" w:rsidRPr="00EE7F8B" w:rsidRDefault="00F00E2F" w:rsidP="00AF5B6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t>Либо 30 дней с даты получения от сетевой организации Акта об осуществлении технологического присоединения– для самостоятельного направления заявителем в адрес гарантирующего поставщика (иной сбытовой организации) договора (проекта договора), обеспечивающего продажу электрической энергии (протокола разногласий к такому договору или дополнительного соглашения)</w:t>
            </w:r>
          </w:p>
        </w:tc>
        <w:tc>
          <w:tcPr>
            <w:tcW w:w="692" w:type="pct"/>
            <w:shd w:val="clear" w:color="auto" w:fill="auto"/>
          </w:tcPr>
          <w:p w:rsidR="00F00E2F" w:rsidRPr="00EE7F8B" w:rsidRDefault="00F00E2F" w:rsidP="00AF5B6D">
            <w:pPr>
              <w:rPr>
                <w:sz w:val="22"/>
                <w:szCs w:val="22"/>
              </w:rPr>
            </w:pPr>
            <w:r w:rsidRPr="00EE7F8B">
              <w:rPr>
                <w:sz w:val="22"/>
                <w:szCs w:val="22"/>
              </w:rPr>
              <w:lastRenderedPageBreak/>
              <w:t>Пункт 19 (1) Правил ТП</w:t>
            </w:r>
          </w:p>
        </w:tc>
      </w:tr>
    </w:tbl>
    <w:p w:rsidR="00F00E2F" w:rsidRPr="00EE7F8B" w:rsidRDefault="00F00E2F" w:rsidP="00F00E2F">
      <w:pPr>
        <w:jc w:val="both"/>
        <w:outlineLvl w:val="0"/>
        <w:rPr>
          <w:b/>
          <w:sz w:val="24"/>
          <w:szCs w:val="24"/>
        </w:rPr>
      </w:pP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bookmarkStart w:id="0" w:name="_GoBack"/>
      <w:bookmarkEnd w:id="0"/>
      <w:r w:rsidRPr="002F721F">
        <w:rPr>
          <w:b/>
          <w:sz w:val="24"/>
          <w:szCs w:val="24"/>
        </w:rPr>
        <w:lastRenderedPageBreak/>
        <w:t>КОНТАКТНАЯ ИНФОРМАЦИЯ ДЛЯ НАПРАВЛЕНИЯ ОБРАЩЕНИИЙ:</w:t>
      </w:r>
      <w:r w:rsidRPr="002F721F">
        <w:rPr>
          <w:sz w:val="24"/>
          <w:szCs w:val="24"/>
        </w:rPr>
        <w:t xml:space="preserve"> </w:t>
      </w: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F721F">
        <w:rPr>
          <w:sz w:val="24"/>
          <w:szCs w:val="24"/>
        </w:rPr>
        <w:t>Адрес электронной почты ООО «</w:t>
      </w:r>
      <w:proofErr w:type="spellStart"/>
      <w:r w:rsidRPr="002F721F">
        <w:rPr>
          <w:sz w:val="24"/>
          <w:szCs w:val="24"/>
        </w:rPr>
        <w:t>Специнвестпроект</w:t>
      </w:r>
      <w:proofErr w:type="spellEnd"/>
      <w:r w:rsidRPr="002F721F">
        <w:rPr>
          <w:sz w:val="24"/>
          <w:szCs w:val="24"/>
        </w:rPr>
        <w:t>»: info@si-proekt.ru</w:t>
      </w: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F721F">
        <w:rPr>
          <w:sz w:val="24"/>
          <w:szCs w:val="24"/>
        </w:rPr>
        <w:t xml:space="preserve">Адреса офисов обслуживания потребителей: </w:t>
      </w: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F721F">
        <w:rPr>
          <w:sz w:val="24"/>
          <w:szCs w:val="24"/>
        </w:rPr>
        <w:t xml:space="preserve">-Нижегородская область, </w:t>
      </w:r>
      <w:proofErr w:type="spellStart"/>
      <w:r w:rsidRPr="002F721F">
        <w:rPr>
          <w:sz w:val="24"/>
          <w:szCs w:val="24"/>
        </w:rPr>
        <w:t>г.Нижний</w:t>
      </w:r>
      <w:proofErr w:type="spellEnd"/>
      <w:r w:rsidRPr="002F721F">
        <w:rPr>
          <w:sz w:val="24"/>
          <w:szCs w:val="24"/>
        </w:rPr>
        <w:t xml:space="preserve"> Новгород, проспект Гагарина, д.176А,5 этаж; телефон: 8-800-555-34-89</w:t>
      </w: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2F721F">
        <w:rPr>
          <w:sz w:val="24"/>
          <w:szCs w:val="24"/>
        </w:rPr>
        <w:t xml:space="preserve">-Нижегородская область, </w:t>
      </w:r>
      <w:proofErr w:type="spellStart"/>
      <w:r w:rsidRPr="002F721F">
        <w:rPr>
          <w:sz w:val="24"/>
          <w:szCs w:val="24"/>
        </w:rPr>
        <w:t>г.Бор</w:t>
      </w:r>
      <w:proofErr w:type="spellEnd"/>
      <w:r w:rsidRPr="002F721F">
        <w:rPr>
          <w:sz w:val="24"/>
          <w:szCs w:val="24"/>
        </w:rPr>
        <w:t>, ул. Ленина, д.84, 2 этаж; телефон: 8-800-555-42-78</w:t>
      </w:r>
    </w:p>
    <w:p w:rsidR="00C02E56" w:rsidRPr="002F721F" w:rsidRDefault="00C02E56" w:rsidP="00C02E56">
      <w:pPr>
        <w:autoSpaceDE w:val="0"/>
        <w:autoSpaceDN w:val="0"/>
        <w:adjustRightInd w:val="0"/>
        <w:ind w:left="709"/>
        <w:jc w:val="both"/>
      </w:pPr>
      <w:r w:rsidRPr="002F721F">
        <w:rPr>
          <w:sz w:val="24"/>
          <w:szCs w:val="24"/>
        </w:rPr>
        <w:t xml:space="preserve">-Нижегородская область, </w:t>
      </w:r>
      <w:proofErr w:type="spellStart"/>
      <w:r w:rsidRPr="002F721F">
        <w:rPr>
          <w:sz w:val="24"/>
          <w:szCs w:val="24"/>
        </w:rPr>
        <w:t>г.Балахна</w:t>
      </w:r>
      <w:proofErr w:type="spellEnd"/>
      <w:r w:rsidRPr="002F721F">
        <w:rPr>
          <w:sz w:val="24"/>
          <w:szCs w:val="24"/>
        </w:rPr>
        <w:t>, ул. Бумажников, д. 27д; телефон: 8-800-500-61-08</w:t>
      </w:r>
    </w:p>
    <w:p w:rsidR="001965C0" w:rsidRPr="00EE7F8B" w:rsidRDefault="001965C0" w:rsidP="00C02E56">
      <w:pPr>
        <w:autoSpaceDE w:val="0"/>
        <w:autoSpaceDN w:val="0"/>
        <w:adjustRightInd w:val="0"/>
        <w:ind w:left="709"/>
        <w:jc w:val="both"/>
      </w:pPr>
    </w:p>
    <w:sectPr w:rsidR="001965C0" w:rsidRPr="00EE7F8B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0E" w:rsidRDefault="00DC7E0E">
      <w:pPr>
        <w:pStyle w:val="af"/>
      </w:pPr>
      <w:r>
        <w:separator/>
      </w:r>
    </w:p>
  </w:endnote>
  <w:endnote w:type="continuationSeparator" w:id="0">
    <w:p w:rsidR="00DC7E0E" w:rsidRDefault="00DC7E0E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0E" w:rsidRDefault="00DC7E0E">
      <w:pPr>
        <w:pStyle w:val="af"/>
      </w:pPr>
      <w:r>
        <w:separator/>
      </w:r>
    </w:p>
  </w:footnote>
  <w:footnote w:type="continuationSeparator" w:id="0">
    <w:p w:rsidR="00DC7E0E" w:rsidRDefault="00DC7E0E">
      <w:pPr>
        <w:pStyle w:val="af"/>
      </w:pPr>
      <w:r>
        <w:continuationSeparator/>
      </w:r>
    </w:p>
  </w:footnote>
  <w:footnote w:id="1">
    <w:p w:rsidR="00F00E2F" w:rsidRDefault="00F00E2F" w:rsidP="00F00E2F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Под электронной формой по всему тексту документа понимается использование документов, оформление которых предусмотрено Правилами ТП между заявителем и сетевой организацией в ходе осуществления процедуры технологического присоединения к электрическим сетям в виде электронных документов, размещаемых в </w:t>
      </w:r>
      <w:r>
        <w:rPr>
          <w:rFonts w:ascii="Times New Roman" w:eastAsia="Times New Roman" w:hAnsi="Times New Roman"/>
          <w:color w:val="000000"/>
          <w:lang w:eastAsia="ru-RU"/>
        </w:rPr>
        <w:t xml:space="preserve">Личном кабинете </w:t>
      </w:r>
      <w:r w:rsidR="00C02E56">
        <w:rPr>
          <w:rFonts w:ascii="Times New Roman" w:eastAsia="Times New Roman" w:hAnsi="Times New Roman"/>
          <w:color w:val="000000"/>
          <w:lang w:eastAsia="ru-RU"/>
        </w:rPr>
        <w:t xml:space="preserve">заявителя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на </w:t>
      </w:r>
      <w:r w:rsidR="00C02E56">
        <w:rPr>
          <w:rFonts w:ascii="Times New Roman" w:eastAsia="Times New Roman" w:hAnsi="Times New Roman"/>
          <w:color w:val="000000"/>
          <w:lang w:eastAsia="ru-RU"/>
        </w:rPr>
        <w:t>сайте ООО «</w:t>
      </w:r>
      <w:proofErr w:type="spellStart"/>
      <w:r w:rsidR="00C02E56">
        <w:rPr>
          <w:rFonts w:ascii="Times New Roman" w:eastAsia="Times New Roman" w:hAnsi="Times New Roman"/>
          <w:color w:val="000000"/>
          <w:lang w:eastAsia="ru-RU"/>
        </w:rPr>
        <w:t>Специнвестпроект</w:t>
      </w:r>
      <w:proofErr w:type="spellEnd"/>
      <w:r w:rsidR="00C02E56">
        <w:rPr>
          <w:rFonts w:ascii="Times New Roman" w:eastAsia="Times New Roman" w:hAnsi="Times New Roman"/>
          <w:color w:val="000000"/>
          <w:lang w:eastAsia="ru-RU"/>
        </w:rPr>
        <w:t>»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или </w:t>
      </w:r>
      <w:r>
        <w:rPr>
          <w:rFonts w:ascii="Times New Roman" w:eastAsia="Times New Roman" w:hAnsi="Times New Roman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</w:footnote>
  <w:footnote w:id="2">
    <w:p w:rsidR="00F00E2F" w:rsidRDefault="00F00E2F" w:rsidP="00F00E2F">
      <w:pPr>
        <w:pStyle w:val="afb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 (далее – Правила ТП), в действующей редакции.</w:t>
      </w:r>
    </w:p>
  </w:footnote>
  <w:footnote w:id="3">
    <w:p w:rsidR="00F00E2F" w:rsidRDefault="00F00E2F" w:rsidP="00F00E2F">
      <w:pPr>
        <w:pStyle w:val="afb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 зависимости от выбранного заявителем способа взаимодействия с сетевой организацией. </w:t>
      </w:r>
    </w:p>
  </w:footnote>
  <w:footnote w:id="4">
    <w:p w:rsidR="00F00E2F" w:rsidRDefault="00F00E2F" w:rsidP="00F00E2F">
      <w:pPr>
        <w:pStyle w:val="afb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Под Личным кабинетом в настоящем документе понимается Личный кабинет, созданный на </w:t>
      </w:r>
      <w:r w:rsidR="00C02E56">
        <w:rPr>
          <w:rFonts w:ascii="Times New Roman" w:hAnsi="Times New Roman"/>
        </w:rPr>
        <w:t>сайте ООО «</w:t>
      </w:r>
      <w:proofErr w:type="spellStart"/>
      <w:proofErr w:type="gramStart"/>
      <w:r w:rsidR="00C02E56">
        <w:rPr>
          <w:rFonts w:ascii="Times New Roman" w:hAnsi="Times New Roman"/>
        </w:rPr>
        <w:t>Специнвестпроект</w:t>
      </w:r>
      <w:proofErr w:type="spellEnd"/>
      <w:r w:rsidR="00C02E56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или</w:t>
      </w:r>
      <w:proofErr w:type="gramEnd"/>
      <w:r>
        <w:rPr>
          <w:rFonts w:ascii="Times New Roman" w:hAnsi="Times New Roman"/>
        </w:rPr>
        <w:t xml:space="preserve"> на едином портале.</w:t>
      </w:r>
    </w:p>
  </w:footnote>
  <w:footnote w:id="5">
    <w:p w:rsidR="00F00E2F" w:rsidRDefault="00F00E2F" w:rsidP="00F00E2F">
      <w:pPr>
        <w:pStyle w:val="afb"/>
        <w:jc w:val="both"/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Под субъектом розничного рынка в настоящем документе понимается субъект розничного рынка, с которым заявитель намеревается заключить договор энергоснабжения (купли-продажи (поставки) электрической энергии (мощности)) </w:t>
      </w:r>
    </w:p>
  </w:footnote>
  <w:footnote w:id="6">
    <w:p w:rsidR="00F00E2F" w:rsidRDefault="00F00E2F" w:rsidP="00F00E2F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Если технические условия в соответствии с Правилами ТП содержат требования в отношении коллективных (общедомовых) приборов учета электрической энергии и иного оборудования, которое используется для организации коллективного (общедомового) коммерческого учета электрической энергии (мощности) в многоквартирных домах.</w:t>
      </w:r>
    </w:p>
  </w:footnote>
  <w:footnote w:id="7">
    <w:p w:rsidR="00F00E2F" w:rsidRDefault="00F00E2F" w:rsidP="00F00E2F">
      <w:pPr>
        <w:pStyle w:val="afb"/>
        <w:jc w:val="both"/>
        <w:rPr>
          <w:rFonts w:ascii="Times New Roman" w:hAnsi="Times New Roman"/>
        </w:rPr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 442</w:t>
      </w:r>
    </w:p>
  </w:footnote>
  <w:footnote w:id="8">
    <w:p w:rsidR="00F00E2F" w:rsidRDefault="00F00E2F" w:rsidP="00F00E2F">
      <w:pPr>
        <w:pStyle w:val="afb"/>
        <w:jc w:val="both"/>
        <w:rPr>
          <w:rFonts w:ascii="Times New Roman" w:hAnsi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Только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электроснабжения.</w:t>
      </w:r>
    </w:p>
  </w:footnote>
  <w:footnote w:id="9">
    <w:p w:rsidR="00F00E2F" w:rsidRDefault="00F00E2F" w:rsidP="00F00E2F">
      <w:pPr>
        <w:pStyle w:val="afb"/>
        <w:jc w:val="both"/>
        <w:rPr>
          <w:rFonts w:ascii="Times New Roman" w:hAnsi="Times New Roman"/>
        </w:rPr>
      </w:pPr>
      <w:r>
        <w:rPr>
          <w:rStyle w:val="afa"/>
        </w:rPr>
        <w:footnoteRef/>
      </w:r>
      <w:r>
        <w:rPr>
          <w:rStyle w:val="afa"/>
        </w:rPr>
        <w:t xml:space="preserve"> </w:t>
      </w:r>
      <w:r>
        <w:rPr>
          <w:rFonts w:ascii="Times New Roman" w:hAnsi="Times New Roman"/>
        </w:rPr>
        <w:t>Для иных заявителей.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C0" w:rsidRDefault="0095015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1965C0" w:rsidRDefault="001965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C0" w:rsidRDefault="00950154">
    <w:pPr>
      <w:pStyle w:val="a3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B03691">
      <w:rPr>
        <w:rStyle w:val="ab"/>
        <w:noProof/>
        <w:color w:val="FFFFFF"/>
      </w:rPr>
      <w:t>11</w:t>
    </w:r>
    <w:r>
      <w:rPr>
        <w:rStyle w:val="ab"/>
        <w:color w:val="FFFFFF"/>
      </w:rPr>
      <w:fldChar w:fldCharType="end"/>
    </w:r>
  </w:p>
  <w:p w:rsidR="001965C0" w:rsidRDefault="001965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FC26CA"/>
    <w:lvl w:ilvl="0">
      <w:numFmt w:val="bullet"/>
      <w:lvlText w:val="*"/>
      <w:lvlJc w:val="left"/>
    </w:lvl>
  </w:abstractNum>
  <w:abstractNum w:abstractNumId="1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4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3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3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54321"/>
    <w:multiLevelType w:val="multilevel"/>
    <w:tmpl w:val="6FB84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76E27E81"/>
    <w:multiLevelType w:val="hybridMultilevel"/>
    <w:tmpl w:val="E6F26184"/>
    <w:lvl w:ilvl="0" w:tplc="8FF05FD4">
      <w:start w:val="1"/>
      <w:numFmt w:val="russianLower"/>
      <w:lvlText w:val="%1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48460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8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9"/>
  </w:num>
  <w:num w:numId="4">
    <w:abstractNumId w:val="38"/>
  </w:num>
  <w:num w:numId="5">
    <w:abstractNumId w:val="24"/>
  </w:num>
  <w:num w:numId="6">
    <w:abstractNumId w:val="22"/>
  </w:num>
  <w:num w:numId="7">
    <w:abstractNumId w:val="8"/>
  </w:num>
  <w:num w:numId="8">
    <w:abstractNumId w:val="27"/>
  </w:num>
  <w:num w:numId="9">
    <w:abstractNumId w:val="32"/>
  </w:num>
  <w:num w:numId="10">
    <w:abstractNumId w:val="15"/>
  </w:num>
  <w:num w:numId="11">
    <w:abstractNumId w:val="12"/>
  </w:num>
  <w:num w:numId="12">
    <w:abstractNumId w:val="26"/>
  </w:num>
  <w:num w:numId="13">
    <w:abstractNumId w:val="14"/>
  </w:num>
  <w:num w:numId="14">
    <w:abstractNumId w:val="31"/>
  </w:num>
  <w:num w:numId="15">
    <w:abstractNumId w:val="4"/>
  </w:num>
  <w:num w:numId="16">
    <w:abstractNumId w:val="19"/>
  </w:num>
  <w:num w:numId="17">
    <w:abstractNumId w:val="5"/>
  </w:num>
  <w:num w:numId="18">
    <w:abstractNumId w:val="16"/>
  </w:num>
  <w:num w:numId="19">
    <w:abstractNumId w:val="20"/>
  </w:num>
  <w:num w:numId="20">
    <w:abstractNumId w:val="36"/>
  </w:num>
  <w:num w:numId="21">
    <w:abstractNumId w:val="30"/>
  </w:num>
  <w:num w:numId="22">
    <w:abstractNumId w:val="28"/>
  </w:num>
  <w:num w:numId="23">
    <w:abstractNumId w:val="3"/>
  </w:num>
  <w:num w:numId="24">
    <w:abstractNumId w:val="39"/>
  </w:num>
  <w:num w:numId="25">
    <w:abstractNumId w:val="1"/>
  </w:num>
  <w:num w:numId="26">
    <w:abstractNumId w:val="17"/>
  </w:num>
  <w:num w:numId="27">
    <w:abstractNumId w:val="23"/>
  </w:num>
  <w:num w:numId="28">
    <w:abstractNumId w:val="11"/>
  </w:num>
  <w:num w:numId="29">
    <w:abstractNumId w:val="13"/>
  </w:num>
  <w:num w:numId="30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3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1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7"/>
  </w:num>
  <w:num w:numId="39">
    <w:abstractNumId w:val="7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7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7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7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7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7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7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7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7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7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7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7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7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7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7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7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7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7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7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7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7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8"/>
  </w:num>
  <w:num w:numId="61">
    <w:abstractNumId w:val="10"/>
  </w:num>
  <w:num w:numId="62">
    <w:abstractNumId w:val="21"/>
  </w:num>
  <w:num w:numId="63">
    <w:abstractNumId w:val="2"/>
  </w:num>
  <w:num w:numId="64">
    <w:abstractNumId w:val="29"/>
  </w:num>
  <w:num w:numId="65">
    <w:abstractNumId w:val="34"/>
  </w:num>
  <w:num w:numId="66">
    <w:abstractNumId w:val="33"/>
  </w:num>
  <w:num w:numId="67">
    <w:abstractNumId w:val="0"/>
    <w:lvlOverride w:ilvl="0">
      <w:lvl w:ilvl="0">
        <w:numFmt w:val="bullet"/>
        <w:lvlText w:val="-"/>
        <w:legacy w:legacy="1" w:legacySpace="0" w:legacyIndent="710"/>
        <w:lvlJc w:val="left"/>
        <w:rPr>
          <w:rFonts w:ascii="Times New Roman" w:hAnsi="Times New Roman" w:hint="default"/>
        </w:rPr>
      </w:lvl>
    </w:lvlOverride>
  </w:num>
  <w:num w:numId="68">
    <w:abstractNumId w:val="6"/>
  </w:num>
  <w:num w:numId="69">
    <w:abstractNumId w:val="3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C0"/>
    <w:rsid w:val="001965C0"/>
    <w:rsid w:val="0060758C"/>
    <w:rsid w:val="007050AF"/>
    <w:rsid w:val="00950154"/>
    <w:rsid w:val="00A60115"/>
    <w:rsid w:val="00A73D8A"/>
    <w:rsid w:val="00B03691"/>
    <w:rsid w:val="00B32E32"/>
    <w:rsid w:val="00C02E56"/>
    <w:rsid w:val="00D71D56"/>
    <w:rsid w:val="00DC7E0E"/>
    <w:rsid w:val="00EE7F8B"/>
    <w:rsid w:val="00F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53AF27-7991-436E-87CB-0F35347A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tabs>
        <w:tab w:val="num" w:pos="0"/>
      </w:tabs>
    </w:pPr>
    <w:rPr>
      <w:sz w:val="28"/>
      <w:lang w:val="x-none" w:eastAsia="x-none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  <w:sz w:val="24"/>
    </w:rPr>
  </w:style>
  <w:style w:type="paragraph" w:styleId="30">
    <w:name w:val="Body Text 3"/>
    <w:basedOn w:val="a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pPr>
      <w:ind w:firstLine="284"/>
    </w:pPr>
  </w:style>
  <w:style w:type="paragraph" w:styleId="a5">
    <w:name w:val="Body Text"/>
    <w:basedOn w:val="a"/>
    <w:link w:val="a6"/>
    <w:rPr>
      <w:sz w:val="24"/>
      <w:lang w:val="x-none" w:eastAsia="x-none"/>
    </w:rPr>
  </w:style>
  <w:style w:type="paragraph" w:styleId="31">
    <w:name w:val="Body Text Indent 3"/>
    <w:basedOn w:val="a"/>
    <w:link w:val="32"/>
    <w:pPr>
      <w:ind w:firstLine="240"/>
    </w:pPr>
  </w:style>
  <w:style w:type="paragraph" w:styleId="a7">
    <w:name w:val="Body Text Indent"/>
    <w:basedOn w:val="a"/>
    <w:pPr>
      <w:jc w:val="right"/>
    </w:pPr>
    <w:rPr>
      <w:sz w:val="24"/>
    </w:rPr>
  </w:style>
  <w:style w:type="paragraph" w:styleId="a8">
    <w:name w:val="caption"/>
    <w:basedOn w:val="a"/>
    <w:next w:val="a"/>
    <w:qFormat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Title"/>
    <w:basedOn w:val="a"/>
    <w:qFormat/>
    <w:pPr>
      <w:jc w:val="center"/>
    </w:pPr>
    <w:rPr>
      <w:b/>
      <w:sz w:val="32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Hyperlink"/>
    <w:uiPriority w:val="99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character" w:customStyle="1" w:styleId="trd121">
    <w:name w:val="trd121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Pr>
      <w:sz w:val="16"/>
      <w:szCs w:val="16"/>
    </w:rPr>
  </w:style>
  <w:style w:type="paragraph" w:styleId="af4">
    <w:name w:val="annotation text"/>
    <w:basedOn w:val="a"/>
    <w:link w:val="af5"/>
    <w:uiPriority w:val="99"/>
  </w:style>
  <w:style w:type="paragraph" w:styleId="af6">
    <w:name w:val="annotation subject"/>
    <w:basedOn w:val="af4"/>
    <w:next w:val="af4"/>
    <w:semiHidden/>
    <w:rPr>
      <w:b/>
      <w:bCs/>
    </w:rPr>
  </w:style>
  <w:style w:type="character" w:customStyle="1" w:styleId="22">
    <w:name w:val="Основной текст 2 Знак"/>
    <w:link w:val="21"/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Pr>
      <w:sz w:val="24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</w:style>
  <w:style w:type="character" w:customStyle="1" w:styleId="32">
    <w:name w:val="Основной текст с отступом 3 Знак"/>
    <w:basedOn w:val="a0"/>
    <w:link w:val="31"/>
  </w:style>
  <w:style w:type="character" w:customStyle="1" w:styleId="20">
    <w:name w:val="Заголовок 2 Знак"/>
    <w:link w:val="2"/>
    <w:rPr>
      <w:b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fa">
    <w:name w:val="footnote reference"/>
    <w:uiPriority w:val="99"/>
    <w:unhideWhenUsed/>
    <w:rPr>
      <w:vertAlign w:val="superscript"/>
    </w:rPr>
  </w:style>
  <w:style w:type="table" w:customStyle="1" w:styleId="-11">
    <w:name w:val="Светлый список - Акцент 11"/>
    <w:basedOn w:val="a1"/>
    <w:uiPriority w:val="61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</w:style>
  <w:style w:type="paragraph" w:styleId="aff0">
    <w:name w:val="TOC Heading"/>
    <w:basedOn w:val="1"/>
    <w:next w:val="a"/>
    <w:uiPriority w:val="39"/>
    <w:unhideWhenUsed/>
    <w:qFormat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Pr>
      <w:lang w:val="ru-RU"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  <w:style w:type="character" w:customStyle="1" w:styleId="FontStyle63">
    <w:name w:val="Font Style63"/>
    <w:uiPriority w:val="99"/>
    <w:rsid w:val="00D71D56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D71D56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D71D56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D71D5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71D56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D71D56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D71D56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1D56"/>
    <w:rPr>
      <w:sz w:val="24"/>
      <w:lang w:val="ru-RU" w:eastAsia="ru-RU"/>
    </w:rPr>
  </w:style>
  <w:style w:type="paragraph" w:styleId="aff3">
    <w:name w:val="endnote text"/>
    <w:basedOn w:val="a"/>
    <w:link w:val="aff4"/>
    <w:semiHidden/>
    <w:unhideWhenUsed/>
    <w:rsid w:val="00D71D56"/>
  </w:style>
  <w:style w:type="character" w:customStyle="1" w:styleId="aff4">
    <w:name w:val="Текст концевой сноски Знак"/>
    <w:basedOn w:val="a0"/>
    <w:link w:val="aff3"/>
    <w:semiHidden/>
    <w:rsid w:val="00D71D56"/>
    <w:rPr>
      <w:lang w:val="ru-RU" w:eastAsia="ru-RU"/>
    </w:rPr>
  </w:style>
  <w:style w:type="character" w:styleId="aff5">
    <w:name w:val="endnote reference"/>
    <w:basedOn w:val="a0"/>
    <w:semiHidden/>
    <w:unhideWhenUsed/>
    <w:rsid w:val="00D71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1808-A7B8-4BB9-BCCA-338B9286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16214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user</cp:lastModifiedBy>
  <cp:revision>4</cp:revision>
  <cp:lastPrinted>2019-05-31T03:35:00Z</cp:lastPrinted>
  <dcterms:created xsi:type="dcterms:W3CDTF">2026-04-30T07:10:00Z</dcterms:created>
  <dcterms:modified xsi:type="dcterms:W3CDTF">2026-04-30T08:07:00Z</dcterms:modified>
</cp:coreProperties>
</file>